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CA2" w:rsidRDefault="003B2CA2" w:rsidP="003B2CA2">
      <w:pPr>
        <w:widowControl/>
        <w:autoSpaceDE/>
        <w:autoSpaceDN/>
        <w:adjustRightInd/>
        <w:rPr>
          <w:rFonts w:cs="Courier"/>
        </w:rPr>
        <w:sectPr w:rsidR="003B2CA2">
          <w:pgSz w:w="12240" w:h="15840"/>
          <w:pgMar w:top="1728" w:right="1296" w:bottom="1296" w:left="1296" w:header="720" w:footer="720" w:gutter="0"/>
          <w:pgNumType w:start="1"/>
          <w:cols w:space="720"/>
        </w:sectPr>
      </w:pPr>
    </w:p>
    <w:p w:rsidR="003B2CA2" w:rsidRDefault="003B2CA2" w:rsidP="003B2CA2">
      <w:pPr>
        <w:widowControl/>
        <w:suppressAutoHyphen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813560" cy="4419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3560" cy="441960"/>
                    </a:xfrm>
                    <a:prstGeom prst="rect">
                      <a:avLst/>
                    </a:prstGeom>
                    <a:noFill/>
                    <a:ln>
                      <a:noFill/>
                    </a:ln>
                  </pic:spPr>
                </pic:pic>
              </a:graphicData>
            </a:graphic>
          </wp:inline>
        </w:drawing>
      </w:r>
    </w:p>
    <w:p w:rsidR="003B2CA2" w:rsidRDefault="003B2CA2" w:rsidP="003B2CA2">
      <w:pPr>
        <w:widowControl/>
        <w:rPr>
          <w:rFonts w:ascii="Times New Roman" w:hAnsi="Times New Roman" w:cs="Times New Roman"/>
          <w:sz w:val="24"/>
          <w:szCs w:val="24"/>
        </w:rPr>
      </w:pPr>
      <w:bookmarkStart w:id="0" w:name="_GoBack"/>
      <w:bookmarkEnd w:id="0"/>
    </w:p>
    <w:p w:rsidR="003B2CA2" w:rsidRDefault="003B2CA2" w:rsidP="003B2CA2">
      <w:pPr>
        <w:widowControl/>
        <w:suppressAutoHyphens/>
        <w:jc w:val="center"/>
        <w:rPr>
          <w:rFonts w:ascii="Times New Roman" w:hAnsi="Times New Roman" w:cs="Times New Roman"/>
          <w:sz w:val="24"/>
          <w:szCs w:val="24"/>
        </w:rPr>
      </w:pPr>
      <w:r>
        <w:rPr>
          <w:rFonts w:ascii="Times New Roman" w:hAnsi="Times New Roman" w:cs="Times New Roman"/>
          <w:sz w:val="24"/>
          <w:szCs w:val="24"/>
        </w:rPr>
        <w:t>1 of 100 DOCUMENTS</w:t>
      </w:r>
    </w:p>
    <w:p w:rsidR="003B2CA2" w:rsidRDefault="003B2CA2" w:rsidP="003B2CA2">
      <w:pPr>
        <w:widowControl/>
        <w:rPr>
          <w:rFonts w:ascii="Times New Roman" w:hAnsi="Times New Roman" w:cs="Times New Roman"/>
          <w:sz w:val="24"/>
          <w:szCs w:val="24"/>
        </w:rPr>
      </w:pPr>
    </w:p>
    <w:p w:rsidR="003B2CA2" w:rsidRDefault="003B2CA2" w:rsidP="003B2CA2">
      <w:pPr>
        <w:widowControl/>
        <w:jc w:val="center"/>
        <w:rPr>
          <w:rFonts w:ascii="Times New Roman" w:hAnsi="Times New Roman" w:cs="Times New Roman"/>
          <w:sz w:val="24"/>
          <w:szCs w:val="24"/>
        </w:rPr>
      </w:pPr>
      <w:r>
        <w:rPr>
          <w:rFonts w:ascii="Times New Roman" w:hAnsi="Times New Roman" w:cs="Times New Roman"/>
          <w:sz w:val="24"/>
          <w:szCs w:val="24"/>
        </w:rPr>
        <w:t>NEW JERSEY REGISTER</w:t>
      </w:r>
    </w:p>
    <w:p w:rsidR="003B2CA2" w:rsidRDefault="003B2CA2" w:rsidP="003B2CA2">
      <w:pPr>
        <w:widowControl/>
        <w:jc w:val="center"/>
        <w:rPr>
          <w:rFonts w:ascii="Times New Roman" w:hAnsi="Times New Roman" w:cs="Times New Roman"/>
          <w:sz w:val="24"/>
          <w:szCs w:val="24"/>
        </w:rPr>
      </w:pPr>
      <w:r>
        <w:rPr>
          <w:rFonts w:ascii="Times New Roman" w:hAnsi="Times New Roman" w:cs="Times New Roman"/>
          <w:sz w:val="24"/>
          <w:szCs w:val="24"/>
        </w:rPr>
        <w:t>Copyright © 2017 by the New Jersey Office of Administrative Law</w:t>
      </w:r>
    </w:p>
    <w:p w:rsidR="003B2CA2" w:rsidRDefault="003B2CA2" w:rsidP="003B2CA2">
      <w:pPr>
        <w:widowControl/>
        <w:rPr>
          <w:rFonts w:ascii="Times New Roman" w:hAnsi="Times New Roman" w:cs="Times New Roman"/>
          <w:sz w:val="24"/>
          <w:szCs w:val="24"/>
        </w:rPr>
      </w:pP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VOLUME 49, ISSUE 13</w:t>
      </w:r>
    </w:p>
    <w:p w:rsidR="003B2CA2" w:rsidRDefault="003B2CA2" w:rsidP="003B2CA2">
      <w:pPr>
        <w:widowControl/>
        <w:rPr>
          <w:rFonts w:ascii="Times New Roman" w:hAnsi="Times New Roman" w:cs="Times New Roman"/>
          <w:sz w:val="24"/>
          <w:szCs w:val="24"/>
        </w:rPr>
      </w:pP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ISSUE DATE: JULY 3, 2017</w:t>
      </w:r>
    </w:p>
    <w:p w:rsidR="003B2CA2" w:rsidRDefault="003B2CA2" w:rsidP="003B2CA2">
      <w:pPr>
        <w:widowControl/>
        <w:rPr>
          <w:rFonts w:ascii="Times New Roman" w:hAnsi="Times New Roman" w:cs="Times New Roman"/>
          <w:sz w:val="24"/>
          <w:szCs w:val="24"/>
        </w:rPr>
      </w:pPr>
    </w:p>
    <w:p w:rsidR="003B2CA2" w:rsidRDefault="003B2CA2" w:rsidP="003B2CA2">
      <w:pPr>
        <w:widowControl/>
        <w:rPr>
          <w:rFonts w:ascii="Times New Roman" w:hAnsi="Times New Roman" w:cs="Times New Roman"/>
          <w:sz w:val="24"/>
          <w:szCs w:val="24"/>
        </w:rPr>
      </w:pPr>
      <w:r>
        <w:rPr>
          <w:rFonts w:ascii="Times New Roman" w:hAnsi="Times New Roman" w:cs="Times New Roman"/>
          <w:b/>
          <w:bCs/>
          <w:sz w:val="24"/>
          <w:szCs w:val="24"/>
        </w:rPr>
        <w:t>PUBLIC NOTICES</w:t>
      </w:r>
    </w:p>
    <w:p w:rsidR="003B2CA2" w:rsidRDefault="003B2CA2" w:rsidP="003B2CA2">
      <w:pPr>
        <w:widowControl/>
        <w:rPr>
          <w:rFonts w:ascii="Times New Roman" w:hAnsi="Times New Roman" w:cs="Times New Roman"/>
          <w:sz w:val="24"/>
          <w:szCs w:val="24"/>
        </w:rPr>
      </w:pPr>
    </w:p>
    <w:p w:rsidR="003B2CA2" w:rsidRDefault="003B2CA2" w:rsidP="003B2CA2">
      <w:pPr>
        <w:widowControl/>
        <w:rPr>
          <w:rFonts w:ascii="Times New Roman" w:hAnsi="Times New Roman" w:cs="Times New Roman"/>
          <w:sz w:val="24"/>
          <w:szCs w:val="24"/>
        </w:rPr>
      </w:pPr>
    </w:p>
    <w:p w:rsidR="003B2CA2" w:rsidRDefault="003B2CA2" w:rsidP="003B2CA2">
      <w:pPr>
        <w:widowControl/>
        <w:rPr>
          <w:rFonts w:ascii="Times New Roman" w:hAnsi="Times New Roman" w:cs="Times New Roman"/>
          <w:sz w:val="24"/>
          <w:szCs w:val="24"/>
        </w:rPr>
      </w:pPr>
      <w:r>
        <w:rPr>
          <w:rFonts w:ascii="Times New Roman" w:hAnsi="Times New Roman" w:cs="Times New Roman"/>
          <w:b/>
          <w:bCs/>
          <w:sz w:val="24"/>
          <w:szCs w:val="24"/>
        </w:rPr>
        <w:t>HUMAN SERVICES</w:t>
      </w:r>
    </w:p>
    <w:p w:rsidR="003B2CA2" w:rsidRDefault="003B2CA2" w:rsidP="003B2CA2">
      <w:pPr>
        <w:widowControl/>
        <w:rPr>
          <w:rFonts w:ascii="Times New Roman" w:hAnsi="Times New Roman" w:cs="Times New Roman"/>
          <w:sz w:val="24"/>
          <w:szCs w:val="24"/>
        </w:rPr>
      </w:pPr>
      <w:r>
        <w:rPr>
          <w:rFonts w:ascii="Times New Roman" w:hAnsi="Times New Roman" w:cs="Times New Roman"/>
          <w:b/>
          <w:bCs/>
          <w:sz w:val="24"/>
          <w:szCs w:val="24"/>
        </w:rPr>
        <w:t>HEALTH</w:t>
      </w:r>
    </w:p>
    <w:p w:rsidR="003B2CA2" w:rsidRDefault="003B2CA2" w:rsidP="003B2CA2">
      <w:pPr>
        <w:widowControl/>
        <w:rPr>
          <w:rFonts w:ascii="Times New Roman" w:hAnsi="Times New Roman" w:cs="Times New Roman"/>
          <w:sz w:val="24"/>
          <w:szCs w:val="24"/>
        </w:rPr>
      </w:pPr>
      <w:r>
        <w:rPr>
          <w:rFonts w:ascii="Times New Roman" w:hAnsi="Times New Roman" w:cs="Times New Roman"/>
          <w:b/>
          <w:bCs/>
          <w:sz w:val="24"/>
          <w:szCs w:val="24"/>
        </w:rPr>
        <w:t>DIVISION OF MEDICAL ASSISTANCE AND HEALTH SERVICES</w:t>
      </w:r>
    </w:p>
    <w:p w:rsidR="003B2CA2" w:rsidRDefault="003B2CA2" w:rsidP="003B2CA2">
      <w:pPr>
        <w:widowControl/>
        <w:rPr>
          <w:rFonts w:ascii="Times New Roman" w:hAnsi="Times New Roman" w:cs="Times New Roman"/>
          <w:sz w:val="24"/>
          <w:szCs w:val="24"/>
        </w:rPr>
      </w:pPr>
    </w:p>
    <w:p w:rsidR="003B2CA2" w:rsidRDefault="003B2CA2" w:rsidP="003B2CA2">
      <w:pPr>
        <w:widowControl/>
        <w:jc w:val="center"/>
        <w:rPr>
          <w:rFonts w:ascii="Times New Roman" w:hAnsi="Times New Roman" w:cs="Times New Roman"/>
          <w:sz w:val="24"/>
          <w:szCs w:val="24"/>
        </w:rPr>
      </w:pPr>
      <w:proofErr w:type="gramStart"/>
      <w:r>
        <w:rPr>
          <w:rFonts w:ascii="Times New Roman" w:hAnsi="Times New Roman" w:cs="Times New Roman"/>
          <w:sz w:val="24"/>
          <w:szCs w:val="24"/>
        </w:rPr>
        <w:t>49 N.J.R. 1928(a)</w:t>
      </w:r>
      <w:proofErr w:type="gramEnd"/>
    </w:p>
    <w:p w:rsidR="003B2CA2" w:rsidRDefault="003B2CA2" w:rsidP="003B2CA2">
      <w:pPr>
        <w:widowControl/>
        <w:rPr>
          <w:rFonts w:ascii="Times New Roman" w:hAnsi="Times New Roman" w:cs="Times New Roman"/>
          <w:sz w:val="24"/>
          <w:szCs w:val="24"/>
        </w:rPr>
      </w:pPr>
    </w:p>
    <w:p w:rsidR="003B2CA2" w:rsidRDefault="003B2CA2" w:rsidP="003B2CA2">
      <w:pPr>
        <w:widowControl/>
        <w:rPr>
          <w:rFonts w:ascii="Times New Roman" w:hAnsi="Times New Roman" w:cs="Times New Roman"/>
          <w:sz w:val="24"/>
          <w:szCs w:val="24"/>
        </w:rPr>
      </w:pPr>
      <w:r>
        <w:rPr>
          <w:rFonts w:ascii="Times New Roman" w:hAnsi="Times New Roman" w:cs="Times New Roman"/>
          <w:b/>
          <w:bCs/>
          <w:sz w:val="24"/>
          <w:szCs w:val="24"/>
        </w:rPr>
        <w:t>New Jersey Drug Utilization Review Board</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b/>
          <w:bCs/>
          <w:sz w:val="24"/>
          <w:szCs w:val="24"/>
        </w:rPr>
        <w:t>State Fiscal Year 2015 Annual Report</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proofErr w:type="gramStart"/>
      <w:r>
        <w:rPr>
          <w:rFonts w:ascii="Times New Roman" w:hAnsi="Times New Roman" w:cs="Times New Roman"/>
          <w:sz w:val="24"/>
          <w:szCs w:val="24"/>
        </w:rPr>
        <w:t>Authorized By: Elizabeth Connolly, Acting Commissioner, Department of Human Services, and Cathleen D. Bennett, Commissioner, Department of Health.</w:t>
      </w:r>
      <w:proofErr w:type="gramEnd"/>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Authority: N.J.S.A. 30:</w:t>
      </w:r>
      <w:proofErr w:type="gramStart"/>
      <w:r>
        <w:rPr>
          <w:rFonts w:ascii="Times New Roman" w:hAnsi="Times New Roman" w:cs="Times New Roman"/>
          <w:sz w:val="24"/>
          <w:szCs w:val="24"/>
        </w:rPr>
        <w:t>4D-17.18.e</w:t>
      </w:r>
      <w:proofErr w:type="gramEnd"/>
      <w:r>
        <w:rPr>
          <w:rFonts w:ascii="Times New Roman" w:hAnsi="Times New Roman" w:cs="Times New Roman"/>
          <w:sz w:val="24"/>
          <w:szCs w:val="24"/>
        </w:rPr>
        <w:t>.</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Agency Control Number: 17-PN-01.</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Submit comments by September 1, 2017, to:</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Margaret M. Rose - Attn: SFY 2015 DURB Report</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Division of Medical Assistance and Health Services</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Office of Legal and Regulatory Affairs</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page=</w:t>
      </w:r>
      <w:proofErr w:type="gramEnd"/>
      <w:r>
        <w:rPr>
          <w:rFonts w:ascii="Times New Roman" w:hAnsi="Times New Roman" w:cs="Times New Roman"/>
          <w:sz w:val="24"/>
          <w:szCs w:val="24"/>
        </w:rPr>
        <w:t>1929] PO Box 712</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Trenton, NJ 08625-0712</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Fax: (609) 588-7343</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E-mail: Margaret.Rose@dhs.state.nj.us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Delivery: 6 Quakerbridge </w:t>
      </w:r>
      <w:proofErr w:type="gramStart"/>
      <w:r>
        <w:rPr>
          <w:rFonts w:ascii="Times New Roman" w:hAnsi="Times New Roman" w:cs="Times New Roman"/>
          <w:sz w:val="24"/>
          <w:szCs w:val="24"/>
        </w:rPr>
        <w:t>Plaza</w:t>
      </w:r>
      <w:proofErr w:type="gramEnd"/>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Mercerville, NJ 08619</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bCs/>
          <w:sz w:val="24"/>
          <w:szCs w:val="24"/>
        </w:rPr>
        <w:t xml:space="preserve">Take notice </w:t>
      </w:r>
      <w:r>
        <w:rPr>
          <w:rFonts w:ascii="Times New Roman" w:hAnsi="Times New Roman" w:cs="Times New Roman"/>
          <w:sz w:val="24"/>
          <w:szCs w:val="24"/>
        </w:rPr>
        <w:t>that this notice affords the public an opportunity to review and comment on the annual Drug Utilization Review Report, which describes the activities of the New Jersey Drug Utilization Review Board (NJDURB) for State Fiscal Year 2015 and its impact on the quality of care provided to beneficiaries participating in the State's pharmaceutical benefit programs.</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Take further notice</w:t>
      </w:r>
      <w:r>
        <w:rPr>
          <w:rFonts w:ascii="Times New Roman" w:hAnsi="Times New Roman" w:cs="Times New Roman"/>
          <w:sz w:val="24"/>
          <w:szCs w:val="24"/>
        </w:rPr>
        <w:t xml:space="preserve"> that, as required by N.J.S.A. 30:4D-17.18.e.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in fulfillment of requirements established by the Federal Department of Health and Human Services, the following Drug Utilization Review Report is presented for public comment.</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The report contains a description of the activities and interventions of the NJDURB for State Fiscal Year 2015 and their impact on the quality of care provided to beneficiaries participating in the State's pharmaceutical benefit programs for the period beginning July 1, 2014 and ending June 30, 2015. The report also contains an assessment of annual costs and any and all recommendations of the Board.</w:t>
      </w:r>
    </w:p>
    <w:p w:rsidR="003B2CA2" w:rsidRDefault="003B2CA2" w:rsidP="003B2CA2">
      <w:pPr>
        <w:widowControl/>
        <w:spacing w:before="120"/>
        <w:ind w:firstLine="360"/>
        <w:rPr>
          <w:rFonts w:ascii="Times New Roman" w:hAnsi="Times New Roman" w:cs="Times New Roman"/>
          <w:sz w:val="24"/>
          <w:szCs w:val="24"/>
        </w:rPr>
      </w:pPr>
      <w:r>
        <w:rPr>
          <w:rFonts w:ascii="Times New Roman" w:hAnsi="Times New Roman" w:cs="Times New Roman"/>
          <w:b/>
          <w:bCs/>
          <w:sz w:val="24"/>
          <w:szCs w:val="24"/>
        </w:rPr>
        <w:t>Full text</w:t>
      </w:r>
      <w:r>
        <w:rPr>
          <w:rFonts w:ascii="Times New Roman" w:hAnsi="Times New Roman" w:cs="Times New Roman"/>
          <w:sz w:val="24"/>
          <w:szCs w:val="24"/>
        </w:rPr>
        <w:t xml:space="preserve"> of the Drug Utilization Review Board Annual Report follows: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676900" cy="777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379720" cy="777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9720" cy="777240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45480" cy="53644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5480" cy="536448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53100" cy="2712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712720"/>
                    </a:xfrm>
                    <a:prstGeom prst="rect">
                      <a:avLst/>
                    </a:prstGeom>
                    <a:noFill/>
                    <a:ln>
                      <a:noFill/>
                    </a:ln>
                  </pic:spPr>
                </pic:pic>
              </a:graphicData>
            </a:graphic>
          </wp:inline>
        </w:drawing>
      </w:r>
      <w:r>
        <w:rPr>
          <w:rFonts w:ascii="Times New Roman" w:hAnsi="Times New Roman" w:cs="Times New Roman"/>
          <w:sz w:val="24"/>
          <w:szCs w:val="24"/>
        </w:rPr>
        <w:t xml:space="preserve">    </w:t>
      </w:r>
    </w:p>
    <w:p w:rsidR="003B2CA2" w:rsidRDefault="003B2CA2" w:rsidP="003B2CA2">
      <w:pPr>
        <w:widowControl/>
        <w:rPr>
          <w:rFonts w:ascii="Times New Roman" w:hAnsi="Times New Roman" w:cs="Times New Roman"/>
          <w:sz w:val="24"/>
          <w:szCs w:val="24"/>
        </w:rPr>
      </w:pPr>
      <w:r>
        <w:rPr>
          <w:rFonts w:ascii="Times New Roman" w:hAnsi="Times New Roman" w:cs="Times New Roman"/>
          <w:sz w:val="24"/>
          <w:szCs w:val="24"/>
        </w:rPr>
        <w:t xml:space="preserve">  </w:t>
      </w:r>
    </w:p>
    <w:p w:rsidR="003B2CA2" w:rsidRDefault="003B2CA2" w:rsidP="003B2CA2">
      <w:pPr>
        <w:widowControl/>
        <w:autoSpaceDE/>
        <w:autoSpaceDN/>
        <w:adjustRightInd/>
        <w:rPr>
          <w:rFonts w:ascii="Times New Roman" w:hAnsi="Times New Roman" w:cs="Times New Roman"/>
          <w:sz w:val="24"/>
          <w:szCs w:val="24"/>
        </w:rPr>
        <w:sectPr w:rsidR="003B2CA2">
          <w:type w:val="continuous"/>
          <w:pgSz w:w="12240" w:h="15840"/>
          <w:pgMar w:top="1728" w:right="1296" w:bottom="1296" w:left="1296" w:header="720" w:footer="720" w:gutter="0"/>
          <w:cols w:space="720"/>
        </w:sectPr>
      </w:pPr>
    </w:p>
    <w:p w:rsidR="003B2CA2" w:rsidRDefault="003B2CA2" w:rsidP="003B2CA2">
      <w:pPr>
        <w:widowControl/>
        <w:rPr>
          <w:rFonts w:ascii="Times New Roman" w:hAnsi="Times New Roman" w:cs="Times New Roman"/>
          <w:sz w:val="24"/>
          <w:szCs w:val="24"/>
        </w:rPr>
      </w:pPr>
    </w:p>
    <w:p w:rsidR="006D765A" w:rsidRDefault="006D765A"/>
    <w:sectPr w:rsidR="006D76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CA2"/>
    <w:rsid w:val="003B2CA2"/>
    <w:rsid w:val="006D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CA2"/>
    <w:pPr>
      <w:widowControl w:val="0"/>
      <w:autoSpaceDE w:val="0"/>
      <w:autoSpaceDN w:val="0"/>
      <w:adjustRightInd w:val="0"/>
      <w:spacing w:after="0" w:line="240" w:lineRule="auto"/>
    </w:pPr>
    <w:rPr>
      <w:rFonts w:ascii="Courier" w:eastAsiaTheme="minorEastAsia" w:hAnsi="Courie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CA2"/>
    <w:rPr>
      <w:rFonts w:ascii="Tahoma" w:hAnsi="Tahoma" w:cs="Tahoma"/>
      <w:sz w:val="16"/>
      <w:szCs w:val="16"/>
    </w:rPr>
  </w:style>
  <w:style w:type="character" w:customStyle="1" w:styleId="BalloonTextChar">
    <w:name w:val="Balloon Text Char"/>
    <w:basedOn w:val="DefaultParagraphFont"/>
    <w:link w:val="BalloonText"/>
    <w:uiPriority w:val="99"/>
    <w:semiHidden/>
    <w:rsid w:val="003B2CA2"/>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CA2"/>
    <w:pPr>
      <w:widowControl w:val="0"/>
      <w:autoSpaceDE w:val="0"/>
      <w:autoSpaceDN w:val="0"/>
      <w:adjustRightInd w:val="0"/>
      <w:spacing w:after="0" w:line="240" w:lineRule="auto"/>
    </w:pPr>
    <w:rPr>
      <w:rFonts w:ascii="Courier" w:eastAsiaTheme="minorEastAsia" w:hAnsi="Courie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CA2"/>
    <w:rPr>
      <w:rFonts w:ascii="Tahoma" w:hAnsi="Tahoma" w:cs="Tahoma"/>
      <w:sz w:val="16"/>
      <w:szCs w:val="16"/>
    </w:rPr>
  </w:style>
  <w:style w:type="character" w:customStyle="1" w:styleId="BalloonTextChar">
    <w:name w:val="Balloon Text Char"/>
    <w:basedOn w:val="DefaultParagraphFont"/>
    <w:link w:val="BalloonText"/>
    <w:uiPriority w:val="99"/>
    <w:semiHidden/>
    <w:rsid w:val="003B2CA2"/>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73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335</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NJ Department of Human Services</Company>
  <LinksUpToDate>false</LinksUpToDate>
  <CharactersWithSpaces>2247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M Rose</dc:creator>
  <cp:lastModifiedBy>Margaret M Rose</cp:lastModifiedBy>
  <cp:revision>1</cp:revision>
  <dcterms:created xsi:type="dcterms:W3CDTF">2017-07-10T16:45:00Z</dcterms:created>
  <dcterms:modified xsi:type="dcterms:W3CDTF">2017-07-10T16:46:00Z</dcterms:modified>
</cp:coreProperties>
</file>